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DE" w:rsidRPr="00EF15DE" w:rsidRDefault="00EF15DE" w:rsidP="00EF15DE">
      <w:pPr>
        <w:spacing w:after="150" w:line="312" w:lineRule="atLeast"/>
        <w:outlineLvl w:val="0"/>
        <w:rPr>
          <w:rFonts w:ascii="Titillium Web" w:eastAsia="Times New Roman" w:hAnsi="Titillium Web" w:cs="Times New Roman"/>
          <w:b/>
          <w:bCs/>
          <w:color w:val="40454D"/>
          <w:kern w:val="36"/>
          <w:sz w:val="36"/>
          <w:szCs w:val="36"/>
          <w:lang w:eastAsia="tr-TR"/>
        </w:rPr>
      </w:pPr>
      <w:r w:rsidRPr="00EF15DE">
        <w:rPr>
          <w:rFonts w:ascii="Titillium Web" w:eastAsia="Times New Roman" w:hAnsi="Titillium Web" w:cs="Times New Roman"/>
          <w:b/>
          <w:bCs/>
          <w:color w:val="40454D"/>
          <w:kern w:val="36"/>
          <w:sz w:val="36"/>
          <w:szCs w:val="36"/>
          <w:lang w:eastAsia="tr-TR"/>
        </w:rPr>
        <w:t>Meslek Odaları ve Vergi</w:t>
      </w:r>
    </w:p>
    <w:p w:rsidR="00EF15DE" w:rsidRPr="00EF15DE" w:rsidRDefault="00EF15DE" w:rsidP="00EF15DE">
      <w:pPr>
        <w:shd w:val="clear" w:color="auto" w:fill="F5F5F5"/>
        <w:spacing w:line="240" w:lineRule="auto"/>
        <w:rPr>
          <w:rFonts w:ascii="Arial" w:eastAsia="Times New Roman" w:hAnsi="Arial" w:cs="Arial"/>
          <w:color w:val="494949"/>
          <w:sz w:val="23"/>
          <w:szCs w:val="23"/>
          <w:lang w:eastAsia="tr-TR"/>
        </w:rPr>
      </w:pPr>
      <w:r w:rsidRPr="00EF15DE">
        <w:rPr>
          <w:rFonts w:ascii="Arial" w:eastAsia="Times New Roman" w:hAnsi="Arial" w:cs="Arial"/>
          <w:b/>
          <w:bCs/>
          <w:color w:val="494949"/>
          <w:sz w:val="23"/>
          <w:szCs w:val="23"/>
          <w:lang w:eastAsia="tr-TR"/>
        </w:rPr>
        <w:t>Levent GENÇYÜREK</w:t>
      </w:r>
      <w:r w:rsidRPr="00EF15DE">
        <w:rPr>
          <w:rFonts w:ascii="Arial" w:eastAsia="Times New Roman" w:hAnsi="Arial" w:cs="Arial"/>
          <w:color w:val="494949"/>
          <w:sz w:val="23"/>
          <w:szCs w:val="23"/>
          <w:lang w:eastAsia="tr-TR"/>
        </w:rPr>
        <w:br/>
        <w:t>Maliye Başmüfettişi</w:t>
      </w:r>
      <w:r w:rsidRPr="00EF15DE">
        <w:rPr>
          <w:rFonts w:ascii="Arial" w:eastAsia="Times New Roman" w:hAnsi="Arial" w:cs="Arial"/>
          <w:color w:val="494949"/>
          <w:sz w:val="23"/>
          <w:szCs w:val="23"/>
          <w:lang w:eastAsia="tr-TR"/>
        </w:rPr>
        <w:br/>
        <w:t>9 Eylül Üniversitesi İşletme Fak.</w:t>
      </w:r>
      <w:r w:rsidR="00C24925">
        <w:rPr>
          <w:rFonts w:ascii="Arial" w:eastAsia="Times New Roman" w:hAnsi="Arial" w:cs="Arial"/>
          <w:color w:val="494949"/>
          <w:sz w:val="23"/>
          <w:szCs w:val="23"/>
          <w:lang w:eastAsia="tr-TR"/>
        </w:rPr>
        <w:t xml:space="preserve"> </w:t>
      </w:r>
      <w:r w:rsidRPr="00EF15DE">
        <w:rPr>
          <w:rFonts w:ascii="Arial" w:eastAsia="Times New Roman" w:hAnsi="Arial" w:cs="Arial"/>
          <w:color w:val="494949"/>
          <w:sz w:val="23"/>
          <w:szCs w:val="23"/>
          <w:lang w:eastAsia="tr-TR"/>
        </w:rPr>
        <w:t>Öğretim Görevlisi</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Meslek odaları; meslek mensuplarının ihtiyaçlarını karşılamak, mesleki faaliyetlerini kolaylaştırmak, mesleğin gelişimini sağlamak ve meslek disiplini korumak amacıyla kurulan kamu kurumu niteliğindeki meslek kuruluşlarıdır. </w:t>
      </w:r>
      <w:r w:rsidRPr="00EF15DE">
        <w:rPr>
          <w:rFonts w:ascii="Titillium Web" w:eastAsia="Times New Roman" w:hAnsi="Titillium Web" w:cs="Times New Roman"/>
          <w:b/>
          <w:bCs/>
          <w:color w:val="6D6D6D"/>
          <w:sz w:val="21"/>
          <w:szCs w:val="21"/>
          <w:lang w:eastAsia="tr-TR"/>
        </w:rPr>
        <w:t>Tabipler Odası, Makine Mühendisleri Odası, Mali Müşavirler Odası</w:t>
      </w:r>
      <w:r w:rsidRPr="00EF15DE">
        <w:rPr>
          <w:rFonts w:ascii="Titillium Web" w:eastAsia="Times New Roman" w:hAnsi="Titillium Web" w:cs="Times New Roman"/>
          <w:color w:val="6D6D6D"/>
          <w:sz w:val="21"/>
          <w:szCs w:val="21"/>
          <w:lang w:eastAsia="tr-TR"/>
        </w:rPr>
        <w:t> vb. meslek odası olarak faaliyet göstermektedirler.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İlmi amaçlı dernekler “Kurum”, siyasi amaçlı dernekler “Parti”, sportif faaliyetli dernekler “Kulüp”, mesleki dayanışmayı ve ortak menfaatleri korumak amacıyla kurulan dernekler de  “Sendika ve Oda”  olarak tanımlandığından, </w:t>
      </w:r>
      <w:r w:rsidRPr="00EF15DE">
        <w:rPr>
          <w:rFonts w:ascii="Titillium Web" w:eastAsia="Times New Roman" w:hAnsi="Titillium Web" w:cs="Times New Roman"/>
          <w:b/>
          <w:bCs/>
          <w:color w:val="6D6D6D"/>
          <w:sz w:val="21"/>
          <w:szCs w:val="21"/>
          <w:lang w:eastAsia="tr-TR"/>
        </w:rPr>
        <w:t>Meslek Odaları vergi kanunlarının uygulanması açısından dernek olarak kabul edilmektedir.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Kurumlar Vergisi Kanunu, sadece </w:t>
      </w:r>
      <w:r w:rsidRPr="00EF15DE">
        <w:rPr>
          <w:rFonts w:ascii="Titillium Web" w:eastAsia="Times New Roman" w:hAnsi="Titillium Web" w:cs="Times New Roman"/>
          <w:b/>
          <w:bCs/>
          <w:color w:val="6D6D6D"/>
          <w:sz w:val="21"/>
          <w:szCs w:val="21"/>
          <w:lang w:eastAsia="tr-TR"/>
        </w:rPr>
        <w:t>dernek ve vakıflara ait iktisadi işletmelerin</w:t>
      </w:r>
      <w:r w:rsidRPr="00EF15DE">
        <w:rPr>
          <w:rFonts w:ascii="Titillium Web" w:eastAsia="Times New Roman" w:hAnsi="Titillium Web" w:cs="Times New Roman"/>
          <w:color w:val="6D6D6D"/>
          <w:sz w:val="21"/>
          <w:szCs w:val="21"/>
          <w:lang w:eastAsia="tr-TR"/>
        </w:rPr>
        <w:t> vergilendirilmesi esasını benimsemiştir. Ticari, sınai veya zirai bir işletmenin bir derneğe bağlı ve devamlı olarak faaliyette bulunması durumunda Kurumlar Vergisi mükellefiyeti söz konusu olacaktır. Derneğe bağlı işletmenin, kazanç gayesi gütmemesi, </w:t>
      </w:r>
      <w:r w:rsidRPr="00EF15DE">
        <w:rPr>
          <w:rFonts w:ascii="Titillium Web" w:eastAsia="Times New Roman" w:hAnsi="Titillium Web" w:cs="Times New Roman"/>
          <w:b/>
          <w:bCs/>
          <w:color w:val="6D6D6D"/>
          <w:sz w:val="21"/>
          <w:szCs w:val="21"/>
          <w:lang w:eastAsia="tr-TR"/>
        </w:rPr>
        <w:t>faaliyetinin kanunla verilmiş görevler arasında bulunması</w:t>
      </w:r>
      <w:r w:rsidRPr="00EF15DE">
        <w:rPr>
          <w:rFonts w:ascii="Titillium Web" w:eastAsia="Times New Roman" w:hAnsi="Titillium Web" w:cs="Times New Roman"/>
          <w:color w:val="6D6D6D"/>
          <w:sz w:val="21"/>
          <w:szCs w:val="21"/>
          <w:lang w:eastAsia="tr-TR"/>
        </w:rPr>
        <w:t>, tüzel kişiliğinin  ve bağımsız muhasebesinin olmaması veya ayrı bir işyerinin bulunmaması, vergi mükellefi olmasına engel değildir.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Sürekli olarak ve bir bedel karşılığında satış ve hizmet yapılması iktisadi işletmenin varlığını gösterir. Bedelin sadece maliyeti karşılayacak ölçüde olması veya elde edilen karın odanın amaçlarına tahsis edilecek olması sonucu etkilememektedir. Bir meslek odasına ait bir faaliyet, hacim ve önemi ile  ticari muhasebeyi gerektirir ve ticari bir müessese mahiyetini taşırsa, yapılan bu iş ticari işletme sayılır ve meslek odasının iktisadi işletmesi olarak kurumlar vergisi kapsamına girer.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Meslek Odasına ait iktisadi işletmenin faaliyetinde süreklilik ve devamlılık unsurunun bulunması gerekmektedir. Balo, toplantı, gezi, seyahat gibi sürekli olmayan faaliyetler bir bedel karşılığında yapılsa ve maliyetin üstünde bir gelir elde edilse dahi kurumlar vergisine tabi olmayacaktır.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Diğer taraftan, </w:t>
      </w:r>
      <w:hyperlink r:id="rId4" w:history="1">
        <w:r w:rsidRPr="00EF15DE">
          <w:rPr>
            <w:rFonts w:ascii="Titillium Web" w:eastAsia="Times New Roman" w:hAnsi="Titillium Web" w:cs="Times New Roman"/>
            <w:b/>
            <w:bCs/>
            <w:color w:val="1E73BE"/>
            <w:sz w:val="21"/>
            <w:szCs w:val="21"/>
            <w:lang w:eastAsia="tr-TR"/>
          </w:rPr>
          <w:t>Katma Değer Vergisi Kanunu</w:t>
        </w:r>
      </w:hyperlink>
      <w:r w:rsidRPr="00EF15DE">
        <w:rPr>
          <w:rFonts w:ascii="Titillium Web" w:eastAsia="Times New Roman" w:hAnsi="Titillium Web" w:cs="Times New Roman"/>
          <w:color w:val="6D6D6D"/>
          <w:sz w:val="21"/>
          <w:szCs w:val="21"/>
          <w:lang w:eastAsia="tr-TR"/>
        </w:rPr>
        <w:t> ticari, zirai veya sınai kazanç kapsamında yapılan mal teslimi ve hizmetleri kapsam içine aldığından, odalara bağlı iktisadi işletmelerin yapmış oldukları bu tür işlemler için KDV tahsil edilmesi gerekmektedir.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Yapmış olduğumuz açıklamalar ışığında, odalara bağlı iktisadi işletme özelliği taşıyan ve kurumlar vergisi ile KDV’ne tabi olan faaliyetleri şu şekilde örnekleyebiliriz:</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 Baro’nun sürekli olarak düzenlediği Avukatlara yönelik </w:t>
      </w:r>
      <w:r w:rsidRPr="00EF15DE">
        <w:rPr>
          <w:rFonts w:ascii="Titillium Web" w:eastAsia="Times New Roman" w:hAnsi="Titillium Web" w:cs="Times New Roman"/>
          <w:b/>
          <w:bCs/>
          <w:color w:val="6D6D6D"/>
          <w:sz w:val="21"/>
          <w:szCs w:val="21"/>
          <w:lang w:eastAsia="tr-TR"/>
        </w:rPr>
        <w:t>ücretli yabancı dil kursları,</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 Makine Mühendisleri Odası’nın bilet ücreti karşılığında </w:t>
      </w:r>
      <w:r w:rsidRPr="00EF15DE">
        <w:rPr>
          <w:rFonts w:ascii="Titillium Web" w:eastAsia="Times New Roman" w:hAnsi="Titillium Web" w:cs="Times New Roman"/>
          <w:b/>
          <w:bCs/>
          <w:color w:val="6D6D6D"/>
          <w:sz w:val="21"/>
          <w:szCs w:val="21"/>
          <w:lang w:eastAsia="tr-TR"/>
        </w:rPr>
        <w:t>film gösterimi,</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 Eğitim amaçlı da olsa Ziraat Mühendisleri Odasının çiçek ve  fidan üretip satması,</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 SMMM Odasının </w:t>
      </w:r>
      <w:r w:rsidRPr="00EF15DE">
        <w:rPr>
          <w:rFonts w:ascii="Titillium Web" w:eastAsia="Times New Roman" w:hAnsi="Titillium Web" w:cs="Times New Roman"/>
          <w:b/>
          <w:bCs/>
          <w:color w:val="6D6D6D"/>
          <w:sz w:val="21"/>
          <w:szCs w:val="21"/>
          <w:lang w:eastAsia="tr-TR"/>
        </w:rPr>
        <w:t>Staj Başlangıç Sınavı veya Ruhsat Sınavı</w:t>
      </w:r>
      <w:r w:rsidRPr="00EF15DE">
        <w:rPr>
          <w:rFonts w:ascii="Titillium Web" w:eastAsia="Times New Roman" w:hAnsi="Titillium Web" w:cs="Times New Roman"/>
          <w:color w:val="6D6D6D"/>
          <w:sz w:val="21"/>
          <w:szCs w:val="21"/>
          <w:lang w:eastAsia="tr-TR"/>
        </w:rPr>
        <w:t> için düzenlediği ücretli kurslar,</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 Meslek odalarının </w:t>
      </w:r>
      <w:r w:rsidRPr="00EF15DE">
        <w:rPr>
          <w:rFonts w:ascii="Titillium Web" w:eastAsia="Times New Roman" w:hAnsi="Titillium Web" w:cs="Times New Roman"/>
          <w:b/>
          <w:bCs/>
          <w:color w:val="6D6D6D"/>
          <w:sz w:val="21"/>
          <w:szCs w:val="21"/>
          <w:lang w:eastAsia="tr-TR"/>
        </w:rPr>
        <w:t>lokanta, kantin, büfe </w:t>
      </w:r>
      <w:r w:rsidRPr="00EF15DE">
        <w:rPr>
          <w:rFonts w:ascii="Titillium Web" w:eastAsia="Times New Roman" w:hAnsi="Titillium Web" w:cs="Times New Roman"/>
          <w:color w:val="6D6D6D"/>
          <w:sz w:val="21"/>
          <w:szCs w:val="21"/>
          <w:lang w:eastAsia="tr-TR"/>
        </w:rPr>
        <w:t>v.b yerler işletmesi,</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t>– Hekimler Odası tarafından çıkarılan </w:t>
      </w:r>
      <w:r w:rsidR="001A2F92">
        <w:rPr>
          <w:rFonts w:ascii="Titillium Web" w:eastAsia="Times New Roman" w:hAnsi="Titillium Web" w:cs="Times New Roman"/>
          <w:b/>
          <w:bCs/>
          <w:color w:val="6D6D6D"/>
          <w:sz w:val="21"/>
          <w:szCs w:val="21"/>
          <w:lang w:eastAsia="tr-TR"/>
        </w:rPr>
        <w:t>dergi</w:t>
      </w:r>
      <w:r w:rsidRPr="00EF15DE">
        <w:rPr>
          <w:rFonts w:ascii="Titillium Web" w:eastAsia="Times New Roman" w:hAnsi="Titillium Web" w:cs="Times New Roman"/>
          <w:b/>
          <w:bCs/>
          <w:color w:val="6D6D6D"/>
          <w:sz w:val="21"/>
          <w:szCs w:val="21"/>
          <w:lang w:eastAsia="tr-TR"/>
        </w:rPr>
        <w:t>,</w:t>
      </w:r>
      <w:r w:rsidR="001A2F92">
        <w:rPr>
          <w:rFonts w:ascii="Titillium Web" w:eastAsia="Times New Roman" w:hAnsi="Titillium Web" w:cs="Times New Roman"/>
          <w:b/>
          <w:bCs/>
          <w:color w:val="6D6D6D"/>
          <w:sz w:val="21"/>
          <w:szCs w:val="21"/>
          <w:lang w:eastAsia="tr-TR"/>
        </w:rPr>
        <w:t xml:space="preserve"> </w:t>
      </w:r>
      <w:r w:rsidRPr="00EF15DE">
        <w:rPr>
          <w:rFonts w:ascii="Titillium Web" w:eastAsia="Times New Roman" w:hAnsi="Titillium Web" w:cs="Times New Roman"/>
          <w:b/>
          <w:bCs/>
          <w:color w:val="6D6D6D"/>
          <w:sz w:val="21"/>
          <w:szCs w:val="21"/>
          <w:lang w:eastAsia="tr-TR"/>
        </w:rPr>
        <w:t>broşür ve bülten</w:t>
      </w:r>
      <w:r w:rsidRPr="00EF15DE">
        <w:rPr>
          <w:rFonts w:ascii="Titillium Web" w:eastAsia="Times New Roman" w:hAnsi="Titillium Web" w:cs="Times New Roman"/>
          <w:color w:val="6D6D6D"/>
          <w:sz w:val="21"/>
          <w:szCs w:val="21"/>
          <w:lang w:eastAsia="tr-TR"/>
        </w:rPr>
        <w:t> gibi yayınların bir bedel karşılığında satılması,</w:t>
      </w:r>
    </w:p>
    <w:p w:rsidR="00EF15DE" w:rsidRPr="00EF15DE" w:rsidRDefault="00EF15DE" w:rsidP="00EF15DE">
      <w:pPr>
        <w:spacing w:after="300" w:line="240" w:lineRule="auto"/>
        <w:jc w:val="both"/>
        <w:rPr>
          <w:rFonts w:ascii="Titillium Web" w:eastAsia="Times New Roman" w:hAnsi="Titillium Web" w:cs="Times New Roman"/>
          <w:color w:val="6D6D6D"/>
          <w:sz w:val="21"/>
          <w:szCs w:val="21"/>
          <w:lang w:eastAsia="tr-TR"/>
        </w:rPr>
      </w:pPr>
      <w:r w:rsidRPr="00EF15DE">
        <w:rPr>
          <w:rFonts w:ascii="Titillium Web" w:eastAsia="Times New Roman" w:hAnsi="Titillium Web" w:cs="Times New Roman"/>
          <w:color w:val="6D6D6D"/>
          <w:sz w:val="21"/>
          <w:szCs w:val="21"/>
          <w:lang w:eastAsia="tr-TR"/>
        </w:rPr>
        <w:lastRenderedPageBreak/>
        <w:t>Dernek ve Meslek Odaları, üyeleri yanında toplumun diğer kesimlerini de etkileyecek faaliyetleri ile toplumsal açıdan önemli bir görevi yerine  getirmektedirler. Bu kuruluşların amaçlarına uygun yapmış oldukları faaliyetler desteklenirken, piyasa şartları içer</w:t>
      </w:r>
      <w:r w:rsidR="001A2F92">
        <w:rPr>
          <w:rFonts w:ascii="Titillium Web" w:eastAsia="Times New Roman" w:hAnsi="Titillium Web" w:cs="Times New Roman"/>
          <w:color w:val="6D6D6D"/>
          <w:sz w:val="21"/>
          <w:szCs w:val="21"/>
          <w:lang w:eastAsia="tr-TR"/>
        </w:rPr>
        <w:t>i</w:t>
      </w:r>
      <w:bookmarkStart w:id="0" w:name="_GoBack"/>
      <w:bookmarkEnd w:id="0"/>
      <w:r w:rsidRPr="00EF15DE">
        <w:rPr>
          <w:rFonts w:ascii="Titillium Web" w:eastAsia="Times New Roman" w:hAnsi="Titillium Web" w:cs="Times New Roman"/>
          <w:color w:val="6D6D6D"/>
          <w:sz w:val="21"/>
          <w:szCs w:val="21"/>
          <w:lang w:eastAsia="tr-TR"/>
        </w:rPr>
        <w:t>sinde ve bedeli karşılığında yapmış oldukları ekonomik işlemlerin vergilendirilmesi, vergide adalet ve eşitlik ilkesinin uygulanması yanında mali disiplinin sağlanması ve fatura v.b belgelerin kullanılmasının zorunlu kılınması suretiyle belge düzeninin oturtulması açısından da gereklidir.</w:t>
      </w:r>
    </w:p>
    <w:p w:rsidR="007C5148" w:rsidRDefault="007C5148"/>
    <w:sectPr w:rsidR="007C5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 Web">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DE"/>
    <w:rsid w:val="001A2F92"/>
    <w:rsid w:val="007C5148"/>
    <w:rsid w:val="00C24925"/>
    <w:rsid w:val="00EF1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22CF"/>
  <w15:docId w15:val="{8B76A32A-9395-4FF8-B09D-CC36017D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837829">
      <w:bodyDiv w:val="1"/>
      <w:marLeft w:val="0"/>
      <w:marRight w:val="0"/>
      <w:marTop w:val="0"/>
      <w:marBottom w:val="0"/>
      <w:divBdr>
        <w:top w:val="none" w:sz="0" w:space="0" w:color="auto"/>
        <w:left w:val="none" w:sz="0" w:space="0" w:color="auto"/>
        <w:bottom w:val="none" w:sz="0" w:space="0" w:color="auto"/>
        <w:right w:val="none" w:sz="0" w:space="0" w:color="auto"/>
      </w:divBdr>
      <w:divsChild>
        <w:div w:id="796332863">
          <w:marLeft w:val="0"/>
          <w:marRight w:val="0"/>
          <w:marTop w:val="0"/>
          <w:marBottom w:val="240"/>
          <w:divBdr>
            <w:top w:val="none" w:sz="0" w:space="0" w:color="auto"/>
            <w:left w:val="none" w:sz="0" w:space="0" w:color="auto"/>
            <w:bottom w:val="single" w:sz="6" w:space="5" w:color="EAEAEA"/>
            <w:right w:val="none" w:sz="0" w:space="0" w:color="auto"/>
          </w:divBdr>
          <w:divsChild>
            <w:div w:id="974678154">
              <w:marLeft w:val="0"/>
              <w:marRight w:val="0"/>
              <w:marTop w:val="0"/>
              <w:marBottom w:val="0"/>
              <w:divBdr>
                <w:top w:val="none" w:sz="0" w:space="0" w:color="auto"/>
                <w:left w:val="none" w:sz="0" w:space="0" w:color="auto"/>
                <w:bottom w:val="none" w:sz="0" w:space="0" w:color="auto"/>
                <w:right w:val="none" w:sz="0" w:space="0" w:color="auto"/>
              </w:divBdr>
            </w:div>
          </w:divsChild>
        </w:div>
        <w:div w:id="906455645">
          <w:marLeft w:val="0"/>
          <w:marRight w:val="0"/>
          <w:marTop w:val="0"/>
          <w:marBottom w:val="0"/>
          <w:divBdr>
            <w:top w:val="none" w:sz="0" w:space="0" w:color="auto"/>
            <w:left w:val="none" w:sz="0" w:space="0" w:color="auto"/>
            <w:bottom w:val="none" w:sz="0" w:space="0" w:color="auto"/>
            <w:right w:val="none" w:sz="0" w:space="0" w:color="auto"/>
          </w:divBdr>
          <w:divsChild>
            <w:div w:id="1834224802">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015/01/02/katma-deger-vergisi-kanunu-3065-sayili-kan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Yaşar K</cp:lastModifiedBy>
  <cp:revision>3</cp:revision>
  <dcterms:created xsi:type="dcterms:W3CDTF">2018-05-26T11:58:00Z</dcterms:created>
  <dcterms:modified xsi:type="dcterms:W3CDTF">2018-06-06T14:55:00Z</dcterms:modified>
</cp:coreProperties>
</file>